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1AFEF763" w14:textId="54DEE2EB" w:rsidR="00CC3236" w:rsidRPr="006636B4" w:rsidRDefault="00CC3236" w:rsidP="006636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6B4">
        <w:rPr>
          <w:b/>
        </w:rPr>
        <w:t>Список документов для</w:t>
      </w:r>
      <w:r w:rsidR="00906922" w:rsidRPr="006636B4">
        <w:rPr>
          <w:b/>
        </w:rPr>
        <w:t xml:space="preserve"> участнико</w:t>
      </w:r>
      <w:r w:rsidRPr="006636B4">
        <w:rPr>
          <w:b/>
        </w:rPr>
        <w:t>в открытого конкурс</w:t>
      </w:r>
      <w:r w:rsidR="000D1222" w:rsidRPr="006636B4">
        <w:rPr>
          <w:b/>
        </w:rPr>
        <w:t>ного отбора</w:t>
      </w:r>
      <w:r w:rsidR="00906922" w:rsidRPr="006636B4">
        <w:rPr>
          <w:b/>
        </w:rPr>
        <w:t xml:space="preserve"> </w:t>
      </w:r>
      <w:r w:rsidRPr="006636B4">
        <w:rPr>
          <w:b/>
        </w:rPr>
        <w:t xml:space="preserve">по размещению свободных денежных средств </w:t>
      </w:r>
      <w:r w:rsidR="006636B4" w:rsidRPr="006636B4">
        <w:rPr>
          <w:b/>
        </w:rPr>
        <w:t>Автономной некоммерческой организации «Центр «Мой бизнес» Курской области»</w:t>
      </w:r>
      <w:r w:rsidRPr="006636B4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1D1C9B8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>0 млрд. рублей</w:t>
      </w:r>
      <w:r w:rsidR="00DB2E25">
        <w:t xml:space="preserve"> или справк</w:t>
      </w:r>
      <w:r w:rsidR="00E611D5">
        <w:t>у</w:t>
      </w:r>
      <w:r w:rsidR="00DB2E25">
        <w:t xml:space="preserve"> </w:t>
      </w:r>
      <w:r w:rsidR="00DB2E25" w:rsidRPr="00E17D88">
        <w:t>участника размещения заказа</w:t>
      </w:r>
      <w:r w:rsidR="00DB2E25">
        <w:t xml:space="preserve">, </w:t>
      </w:r>
      <w:r w:rsidR="00DB2E25" w:rsidRPr="00E17D88">
        <w:t xml:space="preserve">подтверждающая наличие у кредитной организации собственных средств (капитала) в размере не менее </w:t>
      </w:r>
      <w:r w:rsidR="00DB2E25">
        <w:t>10</w:t>
      </w:r>
      <w:r w:rsidR="00DB2E25" w:rsidRPr="00E17D88">
        <w:t>0 млрд. рублей</w:t>
      </w:r>
      <w:r w:rsidR="00DB2E25">
        <w:t xml:space="preserve"> (оригинал);  </w:t>
      </w:r>
      <w:r w:rsidR="00906922" w:rsidRPr="00E17D88">
        <w:t xml:space="preserve">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3020B8" w:rsidRPr="00E17D88">
        <w:t>ruA</w:t>
      </w:r>
      <w:proofErr w:type="spellEnd"/>
      <w:r w:rsidR="003020B8" w:rsidRPr="00E17D88">
        <w:t>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lastRenderedPageBreak/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6636B4">
      <w:pPr>
        <w:pageBreakBefore/>
        <w:shd w:val="clear" w:color="auto" w:fill="FFFFFF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181"/>
      </w:tblGrid>
      <w:tr w:rsidR="00CC3236" w:rsidRPr="00114902" w14:paraId="1BC945D7" w14:textId="77777777" w:rsidTr="006636B4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1DFD5C43" w14:textId="088C9D9F" w:rsidR="00CC3236" w:rsidRPr="00114902" w:rsidRDefault="00CC3236" w:rsidP="006636B4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</w:tc>
      </w:tr>
      <w:tr w:rsidR="006636B4" w:rsidRPr="00114902" w14:paraId="66EF22BD" w14:textId="77777777" w:rsidTr="006636B4">
        <w:tc>
          <w:tcPr>
            <w:tcW w:w="4785" w:type="dxa"/>
          </w:tcPr>
          <w:p w14:paraId="35B7FA02" w14:textId="77777777" w:rsidR="006636B4" w:rsidRPr="00114902" w:rsidRDefault="006636B4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</w:p>
        </w:tc>
        <w:tc>
          <w:tcPr>
            <w:tcW w:w="4785" w:type="dxa"/>
          </w:tcPr>
          <w:p w14:paraId="6DFEE6F4" w14:textId="77777777" w:rsidR="006636B4" w:rsidRDefault="006636B4" w:rsidP="006636B4"/>
        </w:tc>
      </w:tr>
      <w:tr w:rsidR="00CC3236" w:rsidRPr="00114902" w14:paraId="1E868085" w14:textId="77777777" w:rsidTr="006636B4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143A9E35" w14:textId="77777777" w:rsidR="00EE63DA" w:rsidRDefault="00EE63DA" w:rsidP="00EE63DA">
            <w:pPr>
              <w:ind w:left="49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  <w:p w14:paraId="27D40509" w14:textId="77777777" w:rsidR="00EE63DA" w:rsidRDefault="00EE63DA" w:rsidP="00EE63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«ЦМБ КО»</w:t>
            </w:r>
          </w:p>
          <w:p w14:paraId="0D736215" w14:textId="3E14DAD2" w:rsidR="00CC3236" w:rsidRPr="00114902" w:rsidRDefault="006636B4" w:rsidP="006636B4">
            <w:pPr>
              <w:pStyle w:val="2"/>
              <w:jc w:val="right"/>
              <w:rPr>
                <w:rFonts w:cs="Times New Roman"/>
                <w:szCs w:val="24"/>
              </w:rPr>
            </w:pPr>
            <w:proofErr w:type="spellStart"/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>Ильиновой</w:t>
            </w:r>
            <w:proofErr w:type="spellEnd"/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 xml:space="preserve"> Ольге Владимировне</w:t>
            </w: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0A161DF4" w:rsidR="000D1222" w:rsidRDefault="00CC789E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 w:rsidRPr="00CC789E">
              <w:rPr>
                <w:bCs/>
              </w:rPr>
              <w:t>300 951 700,75 (триста миллионов девятьсот пятьдесят одна тысяча семьсот и 75/100) рублей 75 копеек</w:t>
            </w:r>
            <w:r>
              <w:rPr>
                <w:bCs/>
              </w:rPr>
              <w:t xml:space="preserve"> </w:t>
            </w:r>
            <w:r w:rsidR="000D1222" w:rsidRPr="00116445">
              <w:t xml:space="preserve">на банковские депозиты по договору банковского вклада. Срок размещения денежных средств – </w:t>
            </w:r>
            <w:r w:rsidR="006636B4">
              <w:t>3</w:t>
            </w:r>
            <w:r w:rsidR="000D1222" w:rsidRPr="00116445">
              <w:t xml:space="preserve"> месяц</w:t>
            </w:r>
            <w:r w:rsidR="006636B4">
              <w:t>а</w:t>
            </w:r>
            <w:r w:rsidR="000D1222" w:rsidRPr="00116445">
              <w:t>, порядок начисления и выплаты процентов – ежемесячно.</w:t>
            </w:r>
          </w:p>
          <w:p w14:paraId="14EEC561" w14:textId="3AA4AF12" w:rsidR="00CC789E" w:rsidRDefault="00CC789E" w:rsidP="00CC789E">
            <w:pPr>
              <w:ind w:firstLine="708"/>
              <w:jc w:val="both"/>
            </w:pPr>
            <w:r>
              <w:t>Общая сумма денежных средств Гарантийного фонда на депозитах и расчетных счетах в банке Заказчика, размещенная у одного участника конкурса, не может превышать 120 380 680,</w:t>
            </w:r>
            <w:r w:rsidR="00323A83">
              <w:t>30</w:t>
            </w:r>
            <w:r>
              <w:t xml:space="preserve"> руб.  (Сто двадцать миллионов триста восемьдесят тысяч шестьсот восемьдесят и </w:t>
            </w:r>
            <w:r w:rsidR="00323A83">
              <w:t>30</w:t>
            </w:r>
            <w:r>
              <w:t xml:space="preserve">/100) рублей </w:t>
            </w:r>
            <w:r w:rsidR="00323A83">
              <w:t>30</w:t>
            </w:r>
            <w:r>
              <w:t xml:space="preserve"> копе</w:t>
            </w:r>
            <w:r w:rsidR="00323A83">
              <w:t>ек</w:t>
            </w:r>
            <w:r>
              <w:t xml:space="preserve">. </w:t>
            </w:r>
          </w:p>
          <w:p w14:paraId="2716D514" w14:textId="32E858CE" w:rsidR="00CC789E" w:rsidRDefault="00CC789E" w:rsidP="00CC789E">
            <w:pPr>
              <w:ind w:firstLine="708"/>
              <w:jc w:val="both"/>
            </w:pPr>
            <w:r>
              <w:t xml:space="preserve">В случае если сумма денежных средств,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победителе, превысит </w:t>
            </w:r>
            <w:r w:rsidR="00323A83" w:rsidRPr="00323A83">
              <w:t xml:space="preserve">120 380 680,30 </w:t>
            </w:r>
            <w:r w:rsidR="00323A83" w:rsidRPr="00323A83">
              <w:lastRenderedPageBreak/>
              <w:t>руб.  (Сто двадцать миллионов триста восемьдесят тысяч шестьсот восемьдесят и 30/100) рублей 30 копеек</w:t>
            </w:r>
            <w:r>
              <w:t xml:space="preserve">, то денежные средства, превышающие указанный лимит, размещаются в банке, заявке которого по итогам конкурса присвоен второй номер. </w:t>
            </w:r>
          </w:p>
          <w:p w14:paraId="5802F6C9" w14:textId="29E1A4B0" w:rsidR="00EE63DA" w:rsidRDefault="00CC789E" w:rsidP="00CC789E">
            <w:pPr>
              <w:pStyle w:val="a4"/>
              <w:shd w:val="clear" w:color="auto" w:fill="FFFFFF"/>
              <w:jc w:val="both"/>
            </w:pPr>
            <w:r>
              <w:t xml:space="preserve">В случае если сумма денежных средств Гарантийного фонда,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</w:t>
            </w:r>
            <w:r w:rsidR="00323A83" w:rsidRPr="00323A83">
              <w:t>120 380 680,30 руб.  (Сто двадцать миллионов триста восемьдесят тысяч шестьсот восемьдесят и 30/100) рублей 30 копеек</w:t>
            </w:r>
            <w:r>
              <w:t>, то денежные средства, превышающие указанный лимит, размещаются в банке, заявке которого по итогам конкурса присвоен третий номер и последующие номера.</w:t>
            </w:r>
          </w:p>
          <w:bookmarkEnd w:id="3"/>
          <w:p w14:paraId="744D160E" w14:textId="5A93AE91" w:rsidR="00CC3236" w:rsidRPr="00116445" w:rsidRDefault="00CC3236" w:rsidP="00EE63DA">
            <w:pPr>
              <w:jc w:val="both"/>
            </w:pP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0493D495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6636B4">
              <w:t>3</w:t>
            </w:r>
            <w:r w:rsidR="00FE529A">
              <w:t xml:space="preserve"> </w:t>
            </w:r>
            <w:r w:rsidR="00CC3236" w:rsidRPr="00114902">
              <w:t xml:space="preserve">месяц 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77777777"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176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proofErr w:type="spellStart"/>
            <w:r w:rsidRPr="00114902">
              <w:t>м.п</w:t>
            </w:r>
            <w:proofErr w:type="spellEnd"/>
            <w:r w:rsidRPr="00114902">
              <w:t>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 w16cid:durableId="178199467">
    <w:abstractNumId w:val="0"/>
  </w:num>
  <w:num w:numId="2" w16cid:durableId="316567841">
    <w:abstractNumId w:val="2"/>
  </w:num>
  <w:num w:numId="3" w16cid:durableId="8486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2"/>
    <w:rsid w:val="000D1222"/>
    <w:rsid w:val="00116445"/>
    <w:rsid w:val="001E1CC8"/>
    <w:rsid w:val="002942B8"/>
    <w:rsid w:val="003020B8"/>
    <w:rsid w:val="00323A83"/>
    <w:rsid w:val="003F6975"/>
    <w:rsid w:val="004E52DC"/>
    <w:rsid w:val="00603EAB"/>
    <w:rsid w:val="006636B4"/>
    <w:rsid w:val="006E0EA2"/>
    <w:rsid w:val="007C1C9F"/>
    <w:rsid w:val="0089117D"/>
    <w:rsid w:val="008F2BE5"/>
    <w:rsid w:val="00906922"/>
    <w:rsid w:val="00943F6A"/>
    <w:rsid w:val="00994B2B"/>
    <w:rsid w:val="009D1121"/>
    <w:rsid w:val="00A06727"/>
    <w:rsid w:val="00A47269"/>
    <w:rsid w:val="00B8259B"/>
    <w:rsid w:val="00BA7B3B"/>
    <w:rsid w:val="00C82A42"/>
    <w:rsid w:val="00CC2FF6"/>
    <w:rsid w:val="00CC3236"/>
    <w:rsid w:val="00CC789E"/>
    <w:rsid w:val="00CF17F5"/>
    <w:rsid w:val="00D256EA"/>
    <w:rsid w:val="00D838F1"/>
    <w:rsid w:val="00DB2E25"/>
    <w:rsid w:val="00DB6159"/>
    <w:rsid w:val="00E17D88"/>
    <w:rsid w:val="00E611D5"/>
    <w:rsid w:val="00ED6A47"/>
    <w:rsid w:val="00EE63DA"/>
    <w:rsid w:val="00EE6775"/>
    <w:rsid w:val="00EE6A4C"/>
    <w:rsid w:val="00F170FB"/>
    <w:rsid w:val="00F465F7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EEC7-EB4E-42B1-9ACC-D5B5360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8</cp:revision>
  <cp:lastPrinted>2022-07-15T06:06:00Z</cp:lastPrinted>
  <dcterms:created xsi:type="dcterms:W3CDTF">2021-12-14T13:57:00Z</dcterms:created>
  <dcterms:modified xsi:type="dcterms:W3CDTF">2023-07-13T13:26:00Z</dcterms:modified>
</cp:coreProperties>
</file>